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EF886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 2：  </w:t>
      </w:r>
    </w:p>
    <w:p w14:paraId="25A10147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“无废矿山”“绿色矿山”实践案例申报表</w:t>
      </w:r>
    </w:p>
    <w:p w14:paraId="4554786E">
      <w:pPr>
        <w:rPr>
          <w:rFonts w:hint="eastAsia" w:ascii="仿宋" w:hAnsi="仿宋" w:eastAsia="仿宋" w:cs="仿宋"/>
          <w:b/>
          <w:bCs/>
          <w:szCs w:val="21"/>
        </w:rPr>
      </w:pPr>
    </w:p>
    <w:tbl>
      <w:tblPr>
        <w:tblStyle w:val="2"/>
        <w:tblW w:w="5860" w:type="pct"/>
        <w:tblInd w:w="-7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2833"/>
        <w:gridCol w:w="80"/>
        <w:gridCol w:w="1666"/>
        <w:gridCol w:w="2996"/>
      </w:tblGrid>
      <w:tr w14:paraId="142B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208" w:type="pct"/>
            <w:vAlign w:val="center"/>
          </w:tcPr>
          <w:p w14:paraId="2CBAB70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申请单位</w:t>
            </w:r>
          </w:p>
        </w:tc>
        <w:tc>
          <w:tcPr>
            <w:tcW w:w="3791" w:type="pct"/>
            <w:gridSpan w:val="4"/>
            <w:vAlign w:val="center"/>
          </w:tcPr>
          <w:p w14:paraId="120CE7F5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（加盖单位公章）</w:t>
            </w:r>
          </w:p>
        </w:tc>
      </w:tr>
      <w:tr w14:paraId="2A5F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208" w:type="pct"/>
            <w:vAlign w:val="center"/>
          </w:tcPr>
          <w:p w14:paraId="5D8F407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组织机构代码</w:t>
            </w:r>
          </w:p>
          <w:p w14:paraId="5BA85EA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/统一社会信用代码</w:t>
            </w:r>
          </w:p>
        </w:tc>
        <w:tc>
          <w:tcPr>
            <w:tcW w:w="3791" w:type="pct"/>
            <w:gridSpan w:val="4"/>
            <w:vAlign w:val="center"/>
          </w:tcPr>
          <w:p w14:paraId="6545306B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CC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08" w:type="pct"/>
            <w:vAlign w:val="center"/>
          </w:tcPr>
          <w:p w14:paraId="2BA6403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791" w:type="pct"/>
            <w:gridSpan w:val="4"/>
            <w:vAlign w:val="center"/>
          </w:tcPr>
          <w:p w14:paraId="23FA9257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FC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208" w:type="pct"/>
            <w:vAlign w:val="center"/>
          </w:tcPr>
          <w:p w14:paraId="74B8975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3791" w:type="pct"/>
            <w:gridSpan w:val="4"/>
            <w:vAlign w:val="center"/>
          </w:tcPr>
          <w:p w14:paraId="6893B10F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spacing w:val="6"/>
                <w:kern w:val="0"/>
                <w:szCs w:val="21"/>
              </w:rPr>
              <w:t>□事业单位　□国有企业　□民营企业　□科研院所　□高等院校　□社会组织　□其他：</w:t>
            </w:r>
            <w:r>
              <w:rPr>
                <w:rFonts w:hint="eastAsia" w:ascii="仿宋" w:hAnsi="仿宋" w:eastAsia="仿宋" w:cs="仿宋"/>
                <w:snapToGrid w:val="0"/>
                <w:spacing w:val="6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700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08" w:type="pct"/>
            <w:vAlign w:val="center"/>
          </w:tcPr>
          <w:p w14:paraId="6756783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458" w:type="pct"/>
            <w:gridSpan w:val="2"/>
            <w:vAlign w:val="center"/>
          </w:tcPr>
          <w:p w14:paraId="7B4EDE46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vAlign w:val="center"/>
          </w:tcPr>
          <w:p w14:paraId="1BB20CC8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498" w:type="pct"/>
            <w:vAlign w:val="center"/>
          </w:tcPr>
          <w:p w14:paraId="18A1171F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E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08" w:type="pct"/>
            <w:vAlign w:val="center"/>
          </w:tcPr>
          <w:p w14:paraId="71A5C3B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58" w:type="pct"/>
            <w:gridSpan w:val="2"/>
            <w:vAlign w:val="center"/>
          </w:tcPr>
          <w:p w14:paraId="7F519CE4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vAlign w:val="center"/>
          </w:tcPr>
          <w:p w14:paraId="78FCC232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98" w:type="pct"/>
            <w:vAlign w:val="center"/>
          </w:tcPr>
          <w:p w14:paraId="13B3039C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E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08" w:type="pct"/>
            <w:vAlign w:val="center"/>
          </w:tcPr>
          <w:p w14:paraId="301DE02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458" w:type="pct"/>
            <w:gridSpan w:val="2"/>
            <w:vAlign w:val="center"/>
          </w:tcPr>
          <w:p w14:paraId="052CEDBF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pct"/>
            <w:vAlign w:val="center"/>
          </w:tcPr>
          <w:p w14:paraId="27A966FE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498" w:type="pct"/>
            <w:vAlign w:val="center"/>
          </w:tcPr>
          <w:p w14:paraId="28E0F75D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A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208" w:type="pct"/>
            <w:vAlign w:val="center"/>
          </w:tcPr>
          <w:p w14:paraId="6587A1B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spacing w:val="6"/>
                <w:kern w:val="0"/>
                <w:szCs w:val="21"/>
              </w:rPr>
              <w:t>联合申报单位（如有）</w:t>
            </w:r>
          </w:p>
        </w:tc>
        <w:tc>
          <w:tcPr>
            <w:tcW w:w="3791" w:type="pct"/>
            <w:gridSpan w:val="4"/>
            <w:vAlign w:val="center"/>
          </w:tcPr>
          <w:p w14:paraId="1F549A24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（请列明单位名称及分工）</w:t>
            </w:r>
          </w:p>
        </w:tc>
      </w:tr>
      <w:tr w14:paraId="65D8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208" w:type="pct"/>
            <w:vAlign w:val="center"/>
          </w:tcPr>
          <w:p w14:paraId="188E56C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3791" w:type="pct"/>
            <w:gridSpan w:val="4"/>
            <w:vAlign w:val="center"/>
          </w:tcPr>
          <w:p w14:paraId="27A45189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A3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1208" w:type="pct"/>
            <w:vAlign w:val="center"/>
          </w:tcPr>
          <w:p w14:paraId="46534CA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申请案例所属领域（勾选）</w:t>
            </w:r>
          </w:p>
        </w:tc>
        <w:tc>
          <w:tcPr>
            <w:tcW w:w="3791" w:type="pct"/>
            <w:gridSpan w:val="4"/>
            <w:vAlign w:val="center"/>
          </w:tcPr>
          <w:p w14:paraId="04B1B616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□无废矿山整体建设 □尾矿综合利用与充填技术 □绿色开采与无废开采工艺 □矿山生态修复与土地复垦 □矿区固废资源化与源头减量  □矿山水资源循环利用  □矿山数字化智能化监管□矿山节能减排与低碳技术□矿山闭坑与环境管理 □矿区土壤与地下水污染防治□绿色矿山建设与评价□其他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 w14:paraId="5245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08" w:type="pct"/>
            <w:vAlign w:val="center"/>
          </w:tcPr>
          <w:p w14:paraId="7C69595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实施地点</w:t>
            </w:r>
          </w:p>
        </w:tc>
        <w:tc>
          <w:tcPr>
            <w:tcW w:w="1418" w:type="pct"/>
            <w:vAlign w:val="center"/>
          </w:tcPr>
          <w:p w14:paraId="70965AB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pct"/>
            <w:gridSpan w:val="2"/>
            <w:vAlign w:val="center"/>
          </w:tcPr>
          <w:p w14:paraId="53230A2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实施周期</w:t>
            </w:r>
          </w:p>
        </w:tc>
        <w:tc>
          <w:tcPr>
            <w:tcW w:w="1498" w:type="pct"/>
            <w:vAlign w:val="center"/>
          </w:tcPr>
          <w:p w14:paraId="024954C3">
            <w:pPr>
              <w:widowControl/>
              <w:ind w:firstLine="24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月至   年  月</w:t>
            </w:r>
          </w:p>
        </w:tc>
      </w:tr>
      <w:tr w14:paraId="799B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08" w:type="pct"/>
            <w:vAlign w:val="center"/>
          </w:tcPr>
          <w:p w14:paraId="4AAB1F5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投资规模(万元)</w:t>
            </w:r>
          </w:p>
        </w:tc>
        <w:tc>
          <w:tcPr>
            <w:tcW w:w="1418" w:type="pct"/>
            <w:vAlign w:val="center"/>
          </w:tcPr>
          <w:p w14:paraId="21DEA8A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pct"/>
            <w:gridSpan w:val="2"/>
            <w:vAlign w:val="center"/>
          </w:tcPr>
          <w:p w14:paraId="75F9945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案例运行状态</w:t>
            </w:r>
          </w:p>
        </w:tc>
        <w:tc>
          <w:tcPr>
            <w:tcW w:w="1498" w:type="pct"/>
            <w:vAlign w:val="center"/>
          </w:tcPr>
          <w:p w14:paraId="02BBCC5C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□已稳定运行□试运行□建设中</w:t>
            </w:r>
          </w:p>
        </w:tc>
      </w:tr>
      <w:tr w14:paraId="7DBA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08" w:type="pct"/>
            <w:vAlign w:val="center"/>
          </w:tcPr>
          <w:p w14:paraId="5F6296F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案例联系人</w:t>
            </w:r>
          </w:p>
        </w:tc>
        <w:tc>
          <w:tcPr>
            <w:tcW w:w="1418" w:type="pct"/>
            <w:vAlign w:val="center"/>
          </w:tcPr>
          <w:p w14:paraId="644600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pct"/>
            <w:gridSpan w:val="2"/>
            <w:vAlign w:val="center"/>
          </w:tcPr>
          <w:p w14:paraId="6C9D9E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98" w:type="pct"/>
            <w:vAlign w:val="center"/>
          </w:tcPr>
          <w:p w14:paraId="75CABCCD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D5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</w:trPr>
        <w:tc>
          <w:tcPr>
            <w:tcW w:w="1208" w:type="pct"/>
            <w:vAlign w:val="center"/>
          </w:tcPr>
          <w:p w14:paraId="63A5BA5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案例核心概况</w:t>
            </w:r>
          </w:p>
          <w:p w14:paraId="67EB003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（800字以内）</w:t>
            </w:r>
          </w:p>
        </w:tc>
        <w:tc>
          <w:tcPr>
            <w:tcW w:w="3791" w:type="pct"/>
            <w:gridSpan w:val="4"/>
            <w:vAlign w:val="center"/>
          </w:tcPr>
          <w:p w14:paraId="3D73F893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包括矿区基本情况、矿山固废治理与生态修复现存痛点；</w:t>
            </w:r>
          </w:p>
          <w:p w14:paraId="2513FAE4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整体实施思路、组织保障、政策配套；</w:t>
            </w:r>
          </w:p>
          <w:p w14:paraId="0A8CCE5B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核心技术路线、运营模式、产业链闭环设计、绿色矿山建设路径等。</w:t>
            </w:r>
          </w:p>
        </w:tc>
      </w:tr>
      <w:tr w14:paraId="1130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</w:trPr>
        <w:tc>
          <w:tcPr>
            <w:tcW w:w="1208" w:type="pct"/>
            <w:vAlign w:val="center"/>
          </w:tcPr>
          <w:p w14:paraId="48F26E4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7D3E7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主要举措</w:t>
            </w:r>
          </w:p>
          <w:p w14:paraId="3AD0FB5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（分条简述）</w:t>
            </w:r>
          </w:p>
        </w:tc>
        <w:tc>
          <w:tcPr>
            <w:tcW w:w="3791" w:type="pct"/>
            <w:gridSpan w:val="4"/>
            <w:vAlign w:val="center"/>
          </w:tcPr>
          <w:p w14:paraId="7E4742B2"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制度模式：</w:t>
            </w:r>
          </w:p>
          <w:p w14:paraId="0ED69DCE"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技术工艺：</w:t>
            </w:r>
          </w:p>
          <w:p w14:paraId="5A70941E"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市场运营/投融资：</w:t>
            </w:r>
          </w:p>
          <w:p w14:paraId="2BEF2A27">
            <w:pPr>
              <w:widowControl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监管数字化：</w:t>
            </w:r>
          </w:p>
        </w:tc>
      </w:tr>
      <w:tr w14:paraId="3954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</w:trPr>
        <w:tc>
          <w:tcPr>
            <w:tcW w:w="1208" w:type="pct"/>
            <w:vAlign w:val="center"/>
          </w:tcPr>
          <w:p w14:paraId="1A08B0B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量化成效</w:t>
            </w:r>
          </w:p>
          <w:p w14:paraId="5A6F879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（附具体数据）</w:t>
            </w:r>
          </w:p>
        </w:tc>
        <w:tc>
          <w:tcPr>
            <w:tcW w:w="3791" w:type="pct"/>
            <w:gridSpan w:val="4"/>
            <w:vAlign w:val="center"/>
          </w:tcPr>
          <w:p w14:paraId="47CB243B"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生态效益：尾矿综合利用率、充填率、矿区土地复垦率、植被恢复覆盖率、废水循环利用率、碳减排量、土壤修复改善效果等；</w:t>
            </w:r>
          </w:p>
          <w:p w14:paraId="5739C259"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经济效益：资源化产品年产值、充填采矿成本节约、矿区土地增值收益、企业降本增收数据等；</w:t>
            </w:r>
          </w:p>
          <w:p w14:paraId="5DE1C525">
            <w:pPr>
              <w:widowControl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社会效益：矿区周边环境治理能力提升、绿色矿山创建成效、公众科普教育、可复制推广价值等。</w:t>
            </w:r>
          </w:p>
        </w:tc>
      </w:tr>
      <w:tr w14:paraId="4F48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208" w:type="pct"/>
            <w:vAlign w:val="center"/>
          </w:tcPr>
          <w:p w14:paraId="0C7E8E10">
            <w:pPr>
              <w:widowControl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佐证材料清单</w:t>
            </w:r>
          </w:p>
          <w:p w14:paraId="6E1CB774">
            <w:pPr>
              <w:widowControl/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（附后）</w:t>
            </w:r>
          </w:p>
        </w:tc>
        <w:tc>
          <w:tcPr>
            <w:tcW w:w="3791" w:type="pct"/>
            <w:gridSpan w:val="4"/>
            <w:vAlign w:val="center"/>
          </w:tcPr>
          <w:p w14:paraId="5EB6CD75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2D7E05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□矿区项目实景照片  □运营年度数据报告 □项目验收文件 □荣誉、示范资质证书 □媒体宣传报道 □区域复制落地证明 □其他支撑材料：</w:t>
            </w:r>
          </w:p>
        </w:tc>
      </w:tr>
      <w:tr w14:paraId="2358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208" w:type="pct"/>
            <w:vAlign w:val="center"/>
          </w:tcPr>
          <w:p w14:paraId="23C76185">
            <w:pPr>
              <w:widowControl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推广价值说明</w:t>
            </w:r>
          </w:p>
          <w:p w14:paraId="32F4EEAE">
            <w:pPr>
              <w:widowControl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（300 字内）</w:t>
            </w:r>
          </w:p>
        </w:tc>
        <w:tc>
          <w:tcPr>
            <w:tcW w:w="3791" w:type="pct"/>
            <w:gridSpan w:val="4"/>
            <w:vAlign w:val="center"/>
          </w:tcPr>
          <w:p w14:paraId="797547FF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简述本案例适配的矿山类型（金属/非金属/煤矿等）、规模、地质条件及全国可复制推广对象，并从社会效益与示范带动、环境效益、年直接经济效益三方面阐明推广价值。</w:t>
            </w:r>
          </w:p>
        </w:tc>
      </w:tr>
      <w:tr w14:paraId="7F0A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</w:trPr>
        <w:tc>
          <w:tcPr>
            <w:tcW w:w="5000" w:type="pct"/>
            <w:gridSpan w:val="5"/>
            <w:vAlign w:val="center"/>
          </w:tcPr>
          <w:p w14:paraId="038798A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申报承诺</w:t>
            </w:r>
          </w:p>
          <w:p w14:paraId="03F71988">
            <w:pPr>
              <w:widowControl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单位承诺本次申报实践案例全部材料真实、合法，无虚假数据，近三年无重大环境行政处罚及安全生产事故记录，同意案例入选后纳入《实践案例集》及相关成果汇编公开宣传。如有违反，愿承担由此产生的相应责任。</w:t>
            </w:r>
          </w:p>
          <w:p w14:paraId="399B1CFF">
            <w:pPr>
              <w:widowControl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 w14:paraId="0EB42B05">
            <w:pPr>
              <w:widowControl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申报单位（公章）：</w:t>
            </w:r>
          </w:p>
          <w:p w14:paraId="30E32420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申报日期：2026年  月   日</w:t>
            </w:r>
          </w:p>
          <w:p w14:paraId="14EDBA24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A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5000" w:type="pct"/>
            <w:gridSpan w:val="5"/>
            <w:vAlign w:val="center"/>
          </w:tcPr>
          <w:p w14:paraId="59AABF52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联系老师：高翔  18613875100   邮箱：958072869@qq.com</w:t>
            </w:r>
          </w:p>
        </w:tc>
      </w:tr>
    </w:tbl>
    <w:p w14:paraId="77EC14B3"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54D33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2026-08-14T07:34:49Z</dcterms:created>
  <dc:creator>Administrator</dc:creator>
  <cp:lastModifiedBy>高翔</cp:lastModifiedBy>
  <dcterms:modified xsi:type="dcterms:W3CDTF">2026-08-14T07:35:02Z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3B283B6C6767439382B21CD9310D7178_12</vt:lpwstr>
  </property>
</Properties>
</file>